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F421AC" w14:textId="77777777" w:rsidR="001B2153" w:rsidRDefault="001B2153" w:rsidP="001B2153">
      <w:pPr>
        <w:jc w:val="center"/>
        <w:rPr>
          <w:b/>
          <w:bCs/>
          <w:u w:val="single"/>
          <w:lang w:val="en-US"/>
        </w:rPr>
      </w:pPr>
      <w:r w:rsidRPr="001B2153">
        <w:rPr>
          <w:b/>
          <w:bCs/>
          <w:u w:val="single"/>
          <w:lang w:val="en-US"/>
        </w:rPr>
        <w:t>Questions</w:t>
      </w:r>
    </w:p>
    <w:p w14:paraId="7EBC9082" w14:textId="77777777" w:rsidR="001B2153" w:rsidRDefault="001B2153" w:rsidP="001B2153">
      <w:pPr>
        <w:pStyle w:val="ListParagraph"/>
        <w:numPr>
          <w:ilvl w:val="0"/>
          <w:numId w:val="1"/>
        </w:numPr>
        <w:spacing w:after="0" w:line="240" w:lineRule="auto"/>
        <w:rPr>
          <w:rFonts w:ascii="Times New Roman" w:eastAsia="Times New Roman" w:hAnsi="Times New Roman" w:cs="Times New Roman"/>
          <w:sz w:val="24"/>
          <w:szCs w:val="24"/>
          <w:lang w:val="en" w:eastAsia="en-GD"/>
        </w:rPr>
      </w:pPr>
      <w:r w:rsidRPr="001B2153">
        <w:rPr>
          <w:rFonts w:ascii="Times New Roman" w:eastAsia="Times New Roman" w:hAnsi="Times New Roman" w:cs="Times New Roman"/>
          <w:sz w:val="24"/>
          <w:szCs w:val="24"/>
          <w:lang w:val="en" w:eastAsia="en-GD"/>
        </w:rPr>
        <w:t xml:space="preserve">What is meant by a dilutive </w:t>
      </w:r>
      <w:proofErr w:type="gramStart"/>
      <w:r w:rsidRPr="001B2153">
        <w:rPr>
          <w:rFonts w:ascii="Times New Roman" w:eastAsia="Times New Roman" w:hAnsi="Times New Roman" w:cs="Times New Roman"/>
          <w:sz w:val="24"/>
          <w:szCs w:val="24"/>
          <w:lang w:val="en" w:eastAsia="en-GD"/>
        </w:rPr>
        <w:t>security</w:t>
      </w:r>
      <w:proofErr w:type="gramEnd"/>
    </w:p>
    <w:p w14:paraId="2300C0F1" w14:textId="77777777" w:rsidR="001B2153" w:rsidRDefault="001B2153" w:rsidP="001B2153">
      <w:pPr>
        <w:pStyle w:val="ListParagraph"/>
        <w:numPr>
          <w:ilvl w:val="0"/>
          <w:numId w:val="1"/>
        </w:numPr>
        <w:spacing w:after="0" w:line="240" w:lineRule="auto"/>
        <w:rPr>
          <w:rFonts w:ascii="Times New Roman" w:eastAsia="Times New Roman" w:hAnsi="Times New Roman" w:cs="Times New Roman"/>
          <w:sz w:val="24"/>
          <w:szCs w:val="24"/>
          <w:lang w:val="en" w:eastAsia="en-GD"/>
        </w:rPr>
      </w:pPr>
      <w:r w:rsidRPr="001B2153">
        <w:rPr>
          <w:rFonts w:ascii="Times New Roman" w:eastAsia="Times New Roman" w:hAnsi="Times New Roman" w:cs="Times New Roman"/>
          <w:sz w:val="24"/>
          <w:szCs w:val="24"/>
          <w:lang w:val="en" w:eastAsia="en-GD"/>
        </w:rPr>
        <w:t xml:space="preserve">Briefly explain why corporations issue convertible securities. </w:t>
      </w:r>
    </w:p>
    <w:p w14:paraId="6EF69ED0" w14:textId="77777777" w:rsidR="001B2153" w:rsidRPr="001B2153" w:rsidRDefault="001B2153" w:rsidP="001B2153">
      <w:pPr>
        <w:pStyle w:val="ListParagraph"/>
        <w:numPr>
          <w:ilvl w:val="0"/>
          <w:numId w:val="1"/>
        </w:numPr>
        <w:spacing w:after="0" w:line="240" w:lineRule="auto"/>
        <w:rPr>
          <w:rFonts w:ascii="Times New Roman" w:eastAsia="Times New Roman" w:hAnsi="Times New Roman" w:cs="Times New Roman"/>
          <w:sz w:val="24"/>
          <w:szCs w:val="24"/>
          <w:lang w:val="en" w:eastAsia="en-GD"/>
        </w:rPr>
      </w:pPr>
      <w:r w:rsidRPr="001B2153">
        <w:rPr>
          <w:rFonts w:ascii="Times New Roman" w:eastAsia="Times New Roman" w:hAnsi="Times New Roman" w:cs="Times New Roman"/>
          <w:sz w:val="24"/>
          <w:szCs w:val="24"/>
          <w:lang w:val="en" w:eastAsia="en-GD"/>
        </w:rPr>
        <w:t>Define the following terms. (a) Basic earnings per share. (b) Potentially dilutive security. (c) Diluted earnings per share. (d) Complex capital structure. (e) Potential common stock.</w:t>
      </w:r>
    </w:p>
    <w:p w14:paraId="0637736C" w14:textId="77777777" w:rsidR="001B2153" w:rsidRPr="001B2153" w:rsidRDefault="001B2153" w:rsidP="001B2153">
      <w:pPr>
        <w:pStyle w:val="ListParagraph"/>
        <w:numPr>
          <w:ilvl w:val="0"/>
          <w:numId w:val="1"/>
        </w:numPr>
        <w:spacing w:after="0" w:line="240" w:lineRule="auto"/>
        <w:rPr>
          <w:rFonts w:ascii="Times New Roman" w:eastAsia="Times New Roman" w:hAnsi="Times New Roman" w:cs="Times New Roman"/>
          <w:sz w:val="24"/>
          <w:szCs w:val="24"/>
          <w:lang w:val="en" w:eastAsia="en-GD"/>
        </w:rPr>
      </w:pPr>
      <w:r w:rsidRPr="001B2153">
        <w:rPr>
          <w:rFonts w:ascii="Times New Roman" w:eastAsia="Times New Roman" w:hAnsi="Times New Roman" w:cs="Times New Roman"/>
          <w:sz w:val="24"/>
          <w:szCs w:val="24"/>
          <w:lang w:val="en" w:eastAsia="en-GD"/>
        </w:rPr>
        <w:t xml:space="preserve">Discuss why options and warrants may be considered potentially dilutive common shares for the computation of diluted earnings per share. </w:t>
      </w:r>
    </w:p>
    <w:p w14:paraId="1853B268" w14:textId="77777777" w:rsidR="001B2153" w:rsidRPr="001B2153" w:rsidRDefault="001B2153" w:rsidP="001B2153">
      <w:pPr>
        <w:pStyle w:val="ListParagraph"/>
        <w:numPr>
          <w:ilvl w:val="0"/>
          <w:numId w:val="1"/>
        </w:numPr>
        <w:spacing w:after="0" w:line="240" w:lineRule="auto"/>
        <w:rPr>
          <w:rFonts w:ascii="Times New Roman" w:eastAsia="Times New Roman" w:hAnsi="Times New Roman" w:cs="Times New Roman"/>
          <w:sz w:val="24"/>
          <w:szCs w:val="24"/>
          <w:lang w:val="en" w:eastAsia="en-GD"/>
        </w:rPr>
      </w:pPr>
      <w:r w:rsidRPr="001B2153">
        <w:rPr>
          <w:rFonts w:ascii="Times New Roman" w:eastAsia="Times New Roman" w:hAnsi="Times New Roman" w:cs="Times New Roman"/>
          <w:sz w:val="24"/>
          <w:szCs w:val="24"/>
          <w:lang w:val="en" w:eastAsia="en-GD"/>
        </w:rPr>
        <w:t xml:space="preserve">Earnings per share can affect market prices of common stock. Can market prices affect earnings per share? Explain. </w:t>
      </w:r>
    </w:p>
    <w:p w14:paraId="5DEFEDC9" w14:textId="77777777" w:rsidR="001B2153" w:rsidRPr="001B2153" w:rsidRDefault="001B2153" w:rsidP="001B2153">
      <w:pPr>
        <w:pStyle w:val="ListParagraph"/>
        <w:numPr>
          <w:ilvl w:val="0"/>
          <w:numId w:val="1"/>
        </w:numPr>
        <w:spacing w:after="0" w:line="240" w:lineRule="auto"/>
        <w:rPr>
          <w:rFonts w:ascii="Times New Roman" w:eastAsia="Times New Roman" w:hAnsi="Times New Roman" w:cs="Times New Roman"/>
          <w:sz w:val="24"/>
          <w:szCs w:val="24"/>
          <w:lang w:val="en" w:eastAsia="en-GD"/>
        </w:rPr>
      </w:pPr>
      <w:r w:rsidRPr="001B2153">
        <w:rPr>
          <w:rFonts w:ascii="Times New Roman" w:eastAsia="Times New Roman" w:hAnsi="Times New Roman" w:cs="Times New Roman"/>
          <w:sz w:val="24"/>
          <w:szCs w:val="24"/>
          <w:lang w:val="en" w:eastAsia="en-GD"/>
        </w:rPr>
        <w:t>What is meant by the term antidilution? Give an example.</w:t>
      </w:r>
    </w:p>
    <w:p w14:paraId="58822617" w14:textId="77777777" w:rsidR="001B2153" w:rsidRPr="001B2153" w:rsidRDefault="001B2153" w:rsidP="001B2153">
      <w:pPr>
        <w:pStyle w:val="ListParagraph"/>
        <w:numPr>
          <w:ilvl w:val="0"/>
          <w:numId w:val="1"/>
        </w:numPr>
        <w:spacing w:after="0" w:line="240" w:lineRule="auto"/>
        <w:rPr>
          <w:rFonts w:ascii="Times New Roman" w:eastAsia="Times New Roman" w:hAnsi="Times New Roman" w:cs="Times New Roman"/>
          <w:sz w:val="24"/>
          <w:szCs w:val="24"/>
          <w:lang w:val="en" w:eastAsia="en-GD"/>
        </w:rPr>
      </w:pPr>
      <w:r w:rsidRPr="001B2153">
        <w:rPr>
          <w:rFonts w:ascii="Times New Roman" w:eastAsia="Times New Roman" w:hAnsi="Times New Roman" w:cs="Times New Roman"/>
          <w:sz w:val="24"/>
          <w:szCs w:val="24"/>
          <w:lang w:val="en" w:eastAsia="en-GD"/>
        </w:rPr>
        <w:t>How is antidilution determined when multiple securities are involved?</w:t>
      </w:r>
    </w:p>
    <w:p w14:paraId="13FC13AE" w14:textId="77777777" w:rsidR="001B2153" w:rsidRDefault="001B2153" w:rsidP="001B2153">
      <w:pPr>
        <w:pStyle w:val="ListParagraph"/>
        <w:spacing w:after="0" w:line="240" w:lineRule="auto"/>
        <w:rPr>
          <w:rFonts w:ascii="Times New Roman" w:eastAsia="Times New Roman" w:hAnsi="Times New Roman" w:cs="Times New Roman"/>
          <w:sz w:val="24"/>
          <w:szCs w:val="24"/>
          <w:lang w:val="en" w:eastAsia="en-GD"/>
        </w:rPr>
      </w:pPr>
    </w:p>
    <w:p w14:paraId="488BAD16" w14:textId="77777777" w:rsidR="001B2153" w:rsidRDefault="001B2153" w:rsidP="001B2153">
      <w:pPr>
        <w:pStyle w:val="ListParagraph"/>
        <w:spacing w:after="0" w:line="240" w:lineRule="auto"/>
        <w:rPr>
          <w:rFonts w:ascii="Times New Roman" w:eastAsia="Times New Roman" w:hAnsi="Times New Roman" w:cs="Times New Roman"/>
          <w:sz w:val="24"/>
          <w:szCs w:val="24"/>
          <w:lang w:val="en" w:eastAsia="en-GD"/>
        </w:rPr>
      </w:pPr>
    </w:p>
    <w:p w14:paraId="317C0BA5" w14:textId="77777777" w:rsidR="001B2153" w:rsidRDefault="001B2153" w:rsidP="001B2153">
      <w:pPr>
        <w:pStyle w:val="ListParagraph"/>
        <w:spacing w:after="0" w:line="240" w:lineRule="auto"/>
        <w:jc w:val="center"/>
        <w:rPr>
          <w:rFonts w:ascii="Times New Roman" w:eastAsia="Times New Roman" w:hAnsi="Times New Roman" w:cs="Times New Roman"/>
          <w:b/>
          <w:bCs/>
          <w:sz w:val="24"/>
          <w:szCs w:val="24"/>
          <w:u w:val="single"/>
          <w:lang w:val="en" w:eastAsia="en-GD"/>
        </w:rPr>
      </w:pPr>
      <w:r w:rsidRPr="001B2153">
        <w:rPr>
          <w:rFonts w:ascii="Times New Roman" w:eastAsia="Times New Roman" w:hAnsi="Times New Roman" w:cs="Times New Roman"/>
          <w:b/>
          <w:bCs/>
          <w:sz w:val="24"/>
          <w:szCs w:val="24"/>
          <w:u w:val="single"/>
          <w:lang w:val="en" w:eastAsia="en-GD"/>
        </w:rPr>
        <w:t>BE</w:t>
      </w:r>
    </w:p>
    <w:p w14:paraId="7ED78CEF" w14:textId="77777777" w:rsidR="001B2153" w:rsidRPr="001B2153" w:rsidRDefault="001B2153" w:rsidP="001B2153">
      <w:pPr>
        <w:spacing w:after="0" w:line="240" w:lineRule="auto"/>
        <w:rPr>
          <w:rFonts w:ascii="Times New Roman" w:eastAsia="Times New Roman" w:hAnsi="Times New Roman" w:cs="Times New Roman"/>
          <w:sz w:val="24"/>
          <w:szCs w:val="24"/>
          <w:lang w:val="en" w:eastAsia="en-GD"/>
        </w:rPr>
      </w:pPr>
      <w:r w:rsidRPr="001B2153">
        <w:rPr>
          <w:rFonts w:ascii="Times New Roman" w:eastAsia="Times New Roman" w:hAnsi="Times New Roman" w:cs="Times New Roman"/>
          <w:b/>
          <w:bCs/>
          <w:sz w:val="24"/>
          <w:szCs w:val="24"/>
          <w:u w:val="single"/>
          <w:lang w:val="en" w:eastAsia="en-GD"/>
        </w:rPr>
        <w:t>BE16-5 (L02)</w:t>
      </w:r>
      <w:r w:rsidRPr="001B2153">
        <w:rPr>
          <w:rFonts w:ascii="Times New Roman" w:eastAsia="Times New Roman" w:hAnsi="Times New Roman" w:cs="Times New Roman"/>
          <w:sz w:val="24"/>
          <w:szCs w:val="24"/>
          <w:lang w:val="en" w:eastAsia="en-GD"/>
        </w:rPr>
        <w:t xml:space="preserve"> McIntyre Corporation issued 2,000 $1,000 bonds at 101. Each bond was issued with one detachable stock </w:t>
      </w:r>
      <w:proofErr w:type="gramStart"/>
      <w:r w:rsidRPr="001B2153">
        <w:rPr>
          <w:rFonts w:ascii="Times New Roman" w:eastAsia="Times New Roman" w:hAnsi="Times New Roman" w:cs="Times New Roman"/>
          <w:sz w:val="24"/>
          <w:szCs w:val="24"/>
          <w:lang w:val="en" w:eastAsia="en-GD"/>
        </w:rPr>
        <w:t>war-rant</w:t>
      </w:r>
      <w:proofErr w:type="gramEnd"/>
      <w:r w:rsidRPr="001B2153">
        <w:rPr>
          <w:rFonts w:ascii="Times New Roman" w:eastAsia="Times New Roman" w:hAnsi="Times New Roman" w:cs="Times New Roman"/>
          <w:sz w:val="24"/>
          <w:szCs w:val="24"/>
          <w:lang w:val="en" w:eastAsia="en-GD"/>
        </w:rPr>
        <w:t xml:space="preserve">. After issuance, the bonds were selling separately at 98. The market price of the warrants without the bonds cannot be determined. Use the incremental method to record the issuance of the bonds and warrants. </w:t>
      </w:r>
    </w:p>
    <w:p w14:paraId="2E469E6B" w14:textId="77777777" w:rsidR="001B2153" w:rsidRDefault="001B2153" w:rsidP="001B2153">
      <w:pPr>
        <w:spacing w:after="0" w:line="240" w:lineRule="auto"/>
        <w:rPr>
          <w:rFonts w:ascii="Times New Roman" w:eastAsia="Times New Roman" w:hAnsi="Times New Roman" w:cs="Times New Roman"/>
          <w:sz w:val="24"/>
          <w:szCs w:val="24"/>
          <w:lang w:val="en" w:eastAsia="en-GD"/>
        </w:rPr>
      </w:pPr>
    </w:p>
    <w:p w14:paraId="6638306E" w14:textId="77777777" w:rsidR="001B2153" w:rsidRPr="001B2153" w:rsidRDefault="001B2153" w:rsidP="001B2153">
      <w:pPr>
        <w:spacing w:after="0" w:line="240" w:lineRule="auto"/>
        <w:rPr>
          <w:rFonts w:ascii="Times New Roman" w:eastAsia="Times New Roman" w:hAnsi="Times New Roman" w:cs="Times New Roman"/>
          <w:sz w:val="24"/>
          <w:szCs w:val="24"/>
          <w:lang w:val="en" w:eastAsia="en-GD"/>
        </w:rPr>
      </w:pPr>
      <w:r w:rsidRPr="001B2153">
        <w:rPr>
          <w:rFonts w:ascii="Times New Roman" w:eastAsia="Times New Roman" w:hAnsi="Times New Roman" w:cs="Times New Roman"/>
          <w:b/>
          <w:bCs/>
          <w:sz w:val="24"/>
          <w:szCs w:val="24"/>
          <w:u w:val="single"/>
          <w:lang w:val="en" w:eastAsia="en-GD"/>
        </w:rPr>
        <w:t>BE16-6 (L03)</w:t>
      </w:r>
      <w:r w:rsidRPr="001B2153">
        <w:rPr>
          <w:rFonts w:ascii="Times New Roman" w:eastAsia="Times New Roman" w:hAnsi="Times New Roman" w:cs="Times New Roman"/>
          <w:sz w:val="24"/>
          <w:szCs w:val="24"/>
          <w:lang w:val="en" w:eastAsia="en-GD"/>
        </w:rPr>
        <w:t xml:space="preserve"> On January 1, 2017, </w:t>
      </w:r>
      <w:proofErr w:type="spellStart"/>
      <w:r w:rsidRPr="001B2153">
        <w:rPr>
          <w:rFonts w:ascii="Times New Roman" w:eastAsia="Times New Roman" w:hAnsi="Times New Roman" w:cs="Times New Roman"/>
          <w:sz w:val="24"/>
          <w:szCs w:val="24"/>
          <w:lang w:val="en" w:eastAsia="en-GD"/>
        </w:rPr>
        <w:t>Barwood</w:t>
      </w:r>
      <w:proofErr w:type="spellEnd"/>
      <w:r w:rsidRPr="001B2153">
        <w:rPr>
          <w:rFonts w:ascii="Times New Roman" w:eastAsia="Times New Roman" w:hAnsi="Times New Roman" w:cs="Times New Roman"/>
          <w:sz w:val="24"/>
          <w:szCs w:val="24"/>
          <w:lang w:val="en" w:eastAsia="en-GD"/>
        </w:rPr>
        <w:t xml:space="preserve"> Corporation granted 5,000 options to executives. Each option entitles the holder to purchase one share of </w:t>
      </w:r>
      <w:proofErr w:type="spellStart"/>
      <w:r w:rsidRPr="001B2153">
        <w:rPr>
          <w:rFonts w:ascii="Times New Roman" w:eastAsia="Times New Roman" w:hAnsi="Times New Roman" w:cs="Times New Roman"/>
          <w:sz w:val="24"/>
          <w:szCs w:val="24"/>
          <w:lang w:val="en" w:eastAsia="en-GD"/>
        </w:rPr>
        <w:t>Barwood’s</w:t>
      </w:r>
      <w:proofErr w:type="spellEnd"/>
      <w:r w:rsidRPr="001B2153">
        <w:rPr>
          <w:rFonts w:ascii="Times New Roman" w:eastAsia="Times New Roman" w:hAnsi="Times New Roman" w:cs="Times New Roman"/>
          <w:sz w:val="24"/>
          <w:szCs w:val="24"/>
          <w:lang w:val="en" w:eastAsia="en-GD"/>
        </w:rPr>
        <w:t xml:space="preserve"> $5 par value common stock at $50 per share at any time during the next 5 years. The market price of the stock is $65 per share on the date of grant. The fair value of the options at the grant date is $150,000. The period of benefit is 2 years. Prepare </w:t>
      </w:r>
      <w:proofErr w:type="spellStart"/>
      <w:r w:rsidRPr="001B2153">
        <w:rPr>
          <w:rFonts w:ascii="Times New Roman" w:eastAsia="Times New Roman" w:hAnsi="Times New Roman" w:cs="Times New Roman"/>
          <w:sz w:val="24"/>
          <w:szCs w:val="24"/>
          <w:lang w:val="en" w:eastAsia="en-GD"/>
        </w:rPr>
        <w:t>Barwood’s</w:t>
      </w:r>
      <w:proofErr w:type="spellEnd"/>
      <w:r w:rsidRPr="001B2153">
        <w:rPr>
          <w:rFonts w:ascii="Times New Roman" w:eastAsia="Times New Roman" w:hAnsi="Times New Roman" w:cs="Times New Roman"/>
          <w:sz w:val="24"/>
          <w:szCs w:val="24"/>
          <w:lang w:val="en" w:eastAsia="en-GD"/>
        </w:rPr>
        <w:t xml:space="preserve"> journal entries for January 1, 2017, and December 31, 2017 and 2018.</w:t>
      </w:r>
    </w:p>
    <w:p w14:paraId="14A6E9B2" w14:textId="77777777" w:rsidR="001B2153" w:rsidRDefault="001B2153" w:rsidP="001B2153">
      <w:pPr>
        <w:pStyle w:val="ListParagraph"/>
        <w:spacing w:after="0" w:line="240" w:lineRule="auto"/>
        <w:jc w:val="center"/>
        <w:rPr>
          <w:rFonts w:ascii="Times New Roman" w:eastAsia="Times New Roman" w:hAnsi="Times New Roman" w:cs="Times New Roman"/>
          <w:b/>
          <w:bCs/>
          <w:sz w:val="24"/>
          <w:szCs w:val="24"/>
          <w:u w:val="single"/>
          <w:lang w:val="en" w:eastAsia="en-GD"/>
        </w:rPr>
      </w:pPr>
    </w:p>
    <w:p w14:paraId="625FFD32" w14:textId="77777777" w:rsidR="001B2153" w:rsidRDefault="001B2153" w:rsidP="001B2153">
      <w:pPr>
        <w:pStyle w:val="ListParagraph"/>
        <w:spacing w:after="0" w:line="240" w:lineRule="auto"/>
        <w:jc w:val="center"/>
        <w:rPr>
          <w:rFonts w:ascii="Times New Roman" w:eastAsia="Times New Roman" w:hAnsi="Times New Roman" w:cs="Times New Roman"/>
          <w:b/>
          <w:bCs/>
          <w:sz w:val="24"/>
          <w:szCs w:val="24"/>
          <w:u w:val="single"/>
          <w:lang w:val="en" w:eastAsia="en-GD"/>
        </w:rPr>
      </w:pPr>
      <w:r>
        <w:rPr>
          <w:rFonts w:ascii="Times New Roman" w:eastAsia="Times New Roman" w:hAnsi="Times New Roman" w:cs="Times New Roman"/>
          <w:b/>
          <w:bCs/>
          <w:sz w:val="24"/>
          <w:szCs w:val="24"/>
          <w:u w:val="single"/>
          <w:lang w:val="en" w:eastAsia="en-GD"/>
        </w:rPr>
        <w:t xml:space="preserve">Exercises </w:t>
      </w:r>
    </w:p>
    <w:p w14:paraId="17815576" w14:textId="77777777" w:rsidR="001B2153" w:rsidRDefault="001B2153" w:rsidP="001B2153">
      <w:pPr>
        <w:spacing w:after="0" w:line="240" w:lineRule="auto"/>
        <w:rPr>
          <w:rFonts w:ascii="Times New Roman" w:eastAsia="Times New Roman" w:hAnsi="Times New Roman" w:cs="Times New Roman"/>
          <w:sz w:val="24"/>
          <w:szCs w:val="24"/>
          <w:lang w:val="en" w:eastAsia="en-GD"/>
        </w:rPr>
      </w:pPr>
      <w:r w:rsidRPr="001B2153">
        <w:rPr>
          <w:rFonts w:ascii="Times New Roman" w:eastAsia="Times New Roman" w:hAnsi="Times New Roman" w:cs="Times New Roman"/>
          <w:b/>
          <w:bCs/>
          <w:sz w:val="24"/>
          <w:szCs w:val="24"/>
          <w:u w:val="single"/>
          <w:lang w:val="en" w:eastAsia="en-GD"/>
        </w:rPr>
        <w:t>E16-1 (L01,2) EXCEL</w:t>
      </w:r>
      <w:r w:rsidRPr="001B2153">
        <w:rPr>
          <w:rFonts w:ascii="Times New Roman" w:eastAsia="Times New Roman" w:hAnsi="Times New Roman" w:cs="Times New Roman"/>
          <w:sz w:val="24"/>
          <w:szCs w:val="24"/>
          <w:lang w:val="en" w:eastAsia="en-GD"/>
        </w:rPr>
        <w:t xml:space="preserve"> (Issuance and Conversion of Bonds) For each of the unrelated transactions described below, present the entry(</w:t>
      </w:r>
      <w:proofErr w:type="spellStart"/>
      <w:r w:rsidRPr="001B2153">
        <w:rPr>
          <w:rFonts w:ascii="Times New Roman" w:eastAsia="Times New Roman" w:hAnsi="Times New Roman" w:cs="Times New Roman"/>
          <w:sz w:val="24"/>
          <w:szCs w:val="24"/>
          <w:lang w:val="en" w:eastAsia="en-GD"/>
        </w:rPr>
        <w:t>ies</w:t>
      </w:r>
      <w:proofErr w:type="spellEnd"/>
      <w:r w:rsidRPr="001B2153">
        <w:rPr>
          <w:rFonts w:ascii="Times New Roman" w:eastAsia="Times New Roman" w:hAnsi="Times New Roman" w:cs="Times New Roman"/>
          <w:sz w:val="24"/>
          <w:szCs w:val="24"/>
          <w:lang w:val="en" w:eastAsia="en-GD"/>
        </w:rPr>
        <w:t xml:space="preserve">) required to record each transaction. </w:t>
      </w:r>
    </w:p>
    <w:p w14:paraId="57B851BA" w14:textId="77777777" w:rsidR="001B2153" w:rsidRDefault="001B2153" w:rsidP="001B2153">
      <w:pPr>
        <w:spacing w:after="0" w:line="240" w:lineRule="auto"/>
        <w:rPr>
          <w:rFonts w:ascii="Times New Roman" w:eastAsia="Times New Roman" w:hAnsi="Times New Roman" w:cs="Times New Roman"/>
          <w:sz w:val="24"/>
          <w:szCs w:val="24"/>
          <w:lang w:val="en" w:eastAsia="en-GD"/>
        </w:rPr>
      </w:pPr>
      <w:r w:rsidRPr="001B2153">
        <w:rPr>
          <w:rFonts w:ascii="Times New Roman" w:eastAsia="Times New Roman" w:hAnsi="Times New Roman" w:cs="Times New Roman"/>
          <w:sz w:val="24"/>
          <w:szCs w:val="24"/>
          <w:lang w:val="en" w:eastAsia="en-GD"/>
        </w:rPr>
        <w:t>1. Grand Corp. issued $20,000,000 par value 10% convertible bonds at 99. If the bonds had not been convertible, the com-</w:t>
      </w:r>
      <w:proofErr w:type="spellStart"/>
      <w:r w:rsidRPr="001B2153">
        <w:rPr>
          <w:rFonts w:ascii="Times New Roman" w:eastAsia="Times New Roman" w:hAnsi="Times New Roman" w:cs="Times New Roman"/>
          <w:sz w:val="24"/>
          <w:szCs w:val="24"/>
          <w:lang w:val="en" w:eastAsia="en-GD"/>
        </w:rPr>
        <w:t>pany’s</w:t>
      </w:r>
      <w:proofErr w:type="spellEnd"/>
      <w:r w:rsidRPr="001B2153">
        <w:rPr>
          <w:rFonts w:ascii="Times New Roman" w:eastAsia="Times New Roman" w:hAnsi="Times New Roman" w:cs="Times New Roman"/>
          <w:sz w:val="24"/>
          <w:szCs w:val="24"/>
          <w:lang w:val="en" w:eastAsia="en-GD"/>
        </w:rPr>
        <w:t xml:space="preserve"> investment banker estimates they would have been sold at 95.</w:t>
      </w:r>
    </w:p>
    <w:p w14:paraId="55243FCF" w14:textId="77777777" w:rsidR="00190C59" w:rsidRDefault="001B2153" w:rsidP="001B2153">
      <w:pPr>
        <w:spacing w:after="0" w:line="240" w:lineRule="auto"/>
        <w:rPr>
          <w:rFonts w:ascii="Times New Roman" w:eastAsia="Times New Roman" w:hAnsi="Times New Roman" w:cs="Times New Roman"/>
          <w:sz w:val="24"/>
          <w:szCs w:val="24"/>
          <w:lang w:val="en" w:eastAsia="en-GD"/>
        </w:rPr>
      </w:pPr>
      <w:r w:rsidRPr="001B2153">
        <w:rPr>
          <w:rFonts w:ascii="Times New Roman" w:eastAsia="Times New Roman" w:hAnsi="Times New Roman" w:cs="Times New Roman"/>
          <w:sz w:val="24"/>
          <w:szCs w:val="24"/>
          <w:lang w:val="en" w:eastAsia="en-GD"/>
        </w:rPr>
        <w:t xml:space="preserve"> 2. Hoosier Company issued $20,000,000 par value 10% bonds at 98. One detachable stock purchase warrant was issued with each $100 par value bond. At the time of issuance, the warrants were selling for $4. </w:t>
      </w:r>
    </w:p>
    <w:p w14:paraId="6AB0CFF9" w14:textId="77777777" w:rsidR="001B2153" w:rsidRPr="001B2153" w:rsidRDefault="001B2153" w:rsidP="001B2153">
      <w:pPr>
        <w:spacing w:after="0" w:line="240" w:lineRule="auto"/>
        <w:rPr>
          <w:rFonts w:ascii="Times New Roman" w:eastAsia="Times New Roman" w:hAnsi="Times New Roman" w:cs="Times New Roman"/>
          <w:sz w:val="24"/>
          <w:szCs w:val="24"/>
          <w:lang w:val="en" w:eastAsia="en-GD"/>
        </w:rPr>
      </w:pPr>
      <w:r w:rsidRPr="001B2153">
        <w:rPr>
          <w:rFonts w:ascii="Times New Roman" w:eastAsia="Times New Roman" w:hAnsi="Times New Roman" w:cs="Times New Roman"/>
          <w:sz w:val="24"/>
          <w:szCs w:val="24"/>
          <w:lang w:val="en" w:eastAsia="en-GD"/>
        </w:rPr>
        <w:t xml:space="preserve">3. Suppose </w:t>
      </w:r>
      <w:proofErr w:type="spellStart"/>
      <w:r w:rsidRPr="001B2153">
        <w:rPr>
          <w:rFonts w:ascii="Times New Roman" w:eastAsia="Times New Roman" w:hAnsi="Times New Roman" w:cs="Times New Roman"/>
          <w:sz w:val="24"/>
          <w:szCs w:val="24"/>
          <w:lang w:val="en" w:eastAsia="en-GD"/>
        </w:rPr>
        <w:t>Sepracor</w:t>
      </w:r>
      <w:proofErr w:type="spellEnd"/>
      <w:r w:rsidRPr="001B2153">
        <w:rPr>
          <w:rFonts w:ascii="Times New Roman" w:eastAsia="Times New Roman" w:hAnsi="Times New Roman" w:cs="Times New Roman"/>
          <w:sz w:val="24"/>
          <w:szCs w:val="24"/>
          <w:lang w:val="en" w:eastAsia="en-GD"/>
        </w:rPr>
        <w:t xml:space="preserve">, Inc. called its convertible debt in 2017. Assume the following related to the transaction. The 11%, $10,000,000 par value bonds were converted into 1,000,000 shares of $1 par value common stock on July 1, 2017. On July 1, there was $55,000 of unamortized discount applicable to the bonds, and the company paid an additional $75,000 to the bondholders to induce conversion of all the bonds. The company records the conversion using the book value method. </w:t>
      </w:r>
    </w:p>
    <w:p w14:paraId="1C277341" w14:textId="77777777" w:rsidR="001B2153" w:rsidRPr="001B2153" w:rsidRDefault="001B2153" w:rsidP="001B2153">
      <w:pPr>
        <w:pStyle w:val="ListParagraph"/>
        <w:spacing w:after="0" w:line="240" w:lineRule="auto"/>
        <w:jc w:val="center"/>
        <w:rPr>
          <w:rFonts w:ascii="Times New Roman" w:eastAsia="Times New Roman" w:hAnsi="Times New Roman" w:cs="Times New Roman"/>
          <w:b/>
          <w:bCs/>
          <w:sz w:val="24"/>
          <w:szCs w:val="24"/>
          <w:u w:val="single"/>
          <w:lang w:val="en" w:eastAsia="en-GD"/>
        </w:rPr>
      </w:pPr>
    </w:p>
    <w:p w14:paraId="307D3864" w14:textId="77777777" w:rsidR="001B2153" w:rsidRPr="001B2153" w:rsidRDefault="001B2153" w:rsidP="001B2153">
      <w:pPr>
        <w:spacing w:after="0" w:line="240" w:lineRule="auto"/>
        <w:rPr>
          <w:rFonts w:ascii="Times New Roman" w:eastAsia="Times New Roman" w:hAnsi="Times New Roman" w:cs="Times New Roman"/>
          <w:sz w:val="24"/>
          <w:szCs w:val="24"/>
          <w:lang w:val="en" w:eastAsia="en-GD"/>
        </w:rPr>
      </w:pPr>
    </w:p>
    <w:p w14:paraId="4EE91B82" w14:textId="77777777" w:rsidR="00190C59" w:rsidRDefault="00190C59" w:rsidP="00190C59">
      <w:pPr>
        <w:spacing w:after="0" w:line="240" w:lineRule="auto"/>
        <w:rPr>
          <w:rFonts w:ascii="Times New Roman" w:eastAsia="Times New Roman" w:hAnsi="Times New Roman" w:cs="Times New Roman"/>
          <w:sz w:val="24"/>
          <w:szCs w:val="24"/>
          <w:lang w:val="en" w:eastAsia="en-GD"/>
        </w:rPr>
      </w:pPr>
      <w:r w:rsidRPr="00190C59">
        <w:rPr>
          <w:rFonts w:ascii="Times New Roman" w:eastAsia="Times New Roman" w:hAnsi="Times New Roman" w:cs="Times New Roman"/>
          <w:b/>
          <w:bCs/>
          <w:sz w:val="24"/>
          <w:szCs w:val="24"/>
          <w:u w:val="single"/>
          <w:lang w:val="en" w:eastAsia="en-GD"/>
        </w:rPr>
        <w:t>E16-2 (L01)</w:t>
      </w:r>
      <w:r w:rsidRPr="00190C59">
        <w:rPr>
          <w:rFonts w:ascii="Times New Roman" w:eastAsia="Times New Roman" w:hAnsi="Times New Roman" w:cs="Times New Roman"/>
          <w:sz w:val="24"/>
          <w:szCs w:val="24"/>
          <w:lang w:val="en" w:eastAsia="en-GD"/>
        </w:rPr>
        <w:t xml:space="preserve"> (Conversion of Bonds) Aubrey Inc. issued $4,000,000 of 10%, 10-year convertible bonds on June 1, 2017, at 98 plus accrued interest. The bonds were dated April 1, 2017, with interest payable April 1 and October 1. Bond discount is </w:t>
      </w:r>
      <w:proofErr w:type="spellStart"/>
      <w:r w:rsidRPr="00190C59">
        <w:rPr>
          <w:rFonts w:ascii="Times New Roman" w:eastAsia="Times New Roman" w:hAnsi="Times New Roman" w:cs="Times New Roman"/>
          <w:sz w:val="24"/>
          <w:szCs w:val="24"/>
          <w:lang w:val="en" w:eastAsia="en-GD"/>
        </w:rPr>
        <w:t>amor-tized</w:t>
      </w:r>
      <w:proofErr w:type="spellEnd"/>
      <w:r w:rsidRPr="00190C59">
        <w:rPr>
          <w:rFonts w:ascii="Times New Roman" w:eastAsia="Times New Roman" w:hAnsi="Times New Roman" w:cs="Times New Roman"/>
          <w:sz w:val="24"/>
          <w:szCs w:val="24"/>
          <w:lang w:val="en" w:eastAsia="en-GD"/>
        </w:rPr>
        <w:t xml:space="preserve"> semiannually on a straight-line basis. On April 1, 2018, $1,500,000 of these bonds were converted into </w:t>
      </w:r>
      <w:r w:rsidRPr="00190C59">
        <w:rPr>
          <w:rFonts w:ascii="Times New Roman" w:eastAsia="Times New Roman" w:hAnsi="Times New Roman" w:cs="Times New Roman"/>
          <w:sz w:val="24"/>
          <w:szCs w:val="24"/>
          <w:lang w:val="en" w:eastAsia="en-GD"/>
        </w:rPr>
        <w:lastRenderedPageBreak/>
        <w:t>30,000 shares of $20 par value common stock. Accrued inter-</w:t>
      </w:r>
      <w:proofErr w:type="spellStart"/>
      <w:r w:rsidRPr="00190C59">
        <w:rPr>
          <w:rFonts w:ascii="Times New Roman" w:eastAsia="Times New Roman" w:hAnsi="Times New Roman" w:cs="Times New Roman"/>
          <w:sz w:val="24"/>
          <w:szCs w:val="24"/>
          <w:lang w:val="en" w:eastAsia="en-GD"/>
        </w:rPr>
        <w:t>est</w:t>
      </w:r>
      <w:proofErr w:type="spellEnd"/>
      <w:r w:rsidRPr="00190C59">
        <w:rPr>
          <w:rFonts w:ascii="Times New Roman" w:eastAsia="Times New Roman" w:hAnsi="Times New Roman" w:cs="Times New Roman"/>
          <w:sz w:val="24"/>
          <w:szCs w:val="24"/>
          <w:lang w:val="en" w:eastAsia="en-GD"/>
        </w:rPr>
        <w:t xml:space="preserve"> was paid in cash at the time of conversion.</w:t>
      </w:r>
    </w:p>
    <w:p w14:paraId="5FD1397E" w14:textId="77777777" w:rsidR="00190C59" w:rsidRDefault="00190C59" w:rsidP="00190C59">
      <w:pPr>
        <w:spacing w:after="0" w:line="240" w:lineRule="auto"/>
        <w:rPr>
          <w:rFonts w:ascii="Times New Roman" w:eastAsia="Times New Roman" w:hAnsi="Times New Roman" w:cs="Times New Roman"/>
          <w:sz w:val="24"/>
          <w:szCs w:val="24"/>
          <w:lang w:val="en" w:eastAsia="en-GD"/>
        </w:rPr>
      </w:pPr>
      <w:r w:rsidRPr="00190C59">
        <w:rPr>
          <w:rFonts w:ascii="Times New Roman" w:eastAsia="Times New Roman" w:hAnsi="Times New Roman" w:cs="Times New Roman"/>
          <w:sz w:val="24"/>
          <w:szCs w:val="24"/>
          <w:lang w:val="en" w:eastAsia="en-GD"/>
        </w:rPr>
        <w:t xml:space="preserve"> Instructions</w:t>
      </w:r>
    </w:p>
    <w:p w14:paraId="78978CDB" w14:textId="77777777" w:rsidR="00190C59" w:rsidRDefault="00190C59" w:rsidP="00190C59">
      <w:pPr>
        <w:spacing w:after="0" w:line="240" w:lineRule="auto"/>
        <w:rPr>
          <w:rFonts w:ascii="Times New Roman" w:eastAsia="Times New Roman" w:hAnsi="Times New Roman" w:cs="Times New Roman"/>
          <w:sz w:val="24"/>
          <w:szCs w:val="24"/>
          <w:lang w:val="en" w:eastAsia="en-GD"/>
        </w:rPr>
      </w:pPr>
      <w:r w:rsidRPr="00190C59">
        <w:rPr>
          <w:rFonts w:ascii="Times New Roman" w:eastAsia="Times New Roman" w:hAnsi="Times New Roman" w:cs="Times New Roman"/>
          <w:sz w:val="24"/>
          <w:szCs w:val="24"/>
          <w:lang w:val="en" w:eastAsia="en-GD"/>
        </w:rPr>
        <w:t xml:space="preserve"> (a) Prepare the entry to record the interest expense at October 1, 2017. Assume that accrued interest payable was credited when the bonds were issued. (Round to nearest dollar.)</w:t>
      </w:r>
    </w:p>
    <w:p w14:paraId="6903B7F3" w14:textId="77777777" w:rsidR="00190C59" w:rsidRPr="00190C59" w:rsidRDefault="00190C59" w:rsidP="00190C59">
      <w:pPr>
        <w:spacing w:after="0" w:line="240" w:lineRule="auto"/>
        <w:rPr>
          <w:rFonts w:ascii="Times New Roman" w:eastAsia="Times New Roman" w:hAnsi="Times New Roman" w:cs="Times New Roman"/>
          <w:sz w:val="24"/>
          <w:szCs w:val="24"/>
          <w:lang w:val="en" w:eastAsia="en-GD"/>
        </w:rPr>
      </w:pPr>
      <w:r w:rsidRPr="00190C59">
        <w:rPr>
          <w:rFonts w:ascii="Times New Roman" w:eastAsia="Times New Roman" w:hAnsi="Times New Roman" w:cs="Times New Roman"/>
          <w:sz w:val="24"/>
          <w:szCs w:val="24"/>
          <w:lang w:val="en" w:eastAsia="en-GD"/>
        </w:rPr>
        <w:t xml:space="preserve"> (b) Prepare the entry(</w:t>
      </w:r>
      <w:proofErr w:type="spellStart"/>
      <w:r w:rsidRPr="00190C59">
        <w:rPr>
          <w:rFonts w:ascii="Times New Roman" w:eastAsia="Times New Roman" w:hAnsi="Times New Roman" w:cs="Times New Roman"/>
          <w:sz w:val="24"/>
          <w:szCs w:val="24"/>
          <w:lang w:val="en" w:eastAsia="en-GD"/>
        </w:rPr>
        <w:t>ies</w:t>
      </w:r>
      <w:proofErr w:type="spellEnd"/>
      <w:r w:rsidRPr="00190C59">
        <w:rPr>
          <w:rFonts w:ascii="Times New Roman" w:eastAsia="Times New Roman" w:hAnsi="Times New Roman" w:cs="Times New Roman"/>
          <w:sz w:val="24"/>
          <w:szCs w:val="24"/>
          <w:lang w:val="en" w:eastAsia="en-GD"/>
        </w:rPr>
        <w:t>) to record the conversion on April 1, 2018. (Book value method is used.) Assume that the entry to record amortization of the bond discount and interest payment has been made</w:t>
      </w:r>
    </w:p>
    <w:p w14:paraId="4EB4D1FF" w14:textId="77777777" w:rsidR="00190C59" w:rsidRDefault="00190C59" w:rsidP="00190C59">
      <w:pPr>
        <w:spacing w:after="0" w:line="240" w:lineRule="auto"/>
        <w:rPr>
          <w:rFonts w:ascii="Times New Roman" w:eastAsia="Times New Roman" w:hAnsi="Times New Roman" w:cs="Times New Roman"/>
          <w:b/>
          <w:bCs/>
          <w:sz w:val="24"/>
          <w:szCs w:val="24"/>
          <w:u w:val="single"/>
          <w:lang w:val="en" w:eastAsia="en-GD"/>
        </w:rPr>
      </w:pPr>
    </w:p>
    <w:p w14:paraId="09E912FC" w14:textId="77777777" w:rsidR="00190C59" w:rsidRDefault="00190C59" w:rsidP="00190C59">
      <w:pPr>
        <w:spacing w:after="0" w:line="240" w:lineRule="auto"/>
        <w:rPr>
          <w:rFonts w:ascii="Times New Roman" w:eastAsia="Times New Roman" w:hAnsi="Times New Roman" w:cs="Times New Roman"/>
          <w:sz w:val="24"/>
          <w:szCs w:val="24"/>
          <w:lang w:val="en" w:eastAsia="en-GD"/>
        </w:rPr>
      </w:pPr>
      <w:bookmarkStart w:id="0" w:name="_GoBack"/>
      <w:bookmarkEnd w:id="0"/>
      <w:r w:rsidRPr="00190C59">
        <w:rPr>
          <w:rFonts w:ascii="Times New Roman" w:eastAsia="Times New Roman" w:hAnsi="Times New Roman" w:cs="Times New Roman"/>
          <w:b/>
          <w:bCs/>
          <w:sz w:val="24"/>
          <w:szCs w:val="24"/>
          <w:u w:val="single"/>
          <w:lang w:val="en" w:eastAsia="en-GD"/>
        </w:rPr>
        <w:t>E16-3 (L01)</w:t>
      </w:r>
      <w:r w:rsidRPr="00190C59">
        <w:rPr>
          <w:rFonts w:ascii="Times New Roman" w:eastAsia="Times New Roman" w:hAnsi="Times New Roman" w:cs="Times New Roman"/>
          <w:sz w:val="24"/>
          <w:szCs w:val="24"/>
          <w:lang w:val="en" w:eastAsia="en-GD"/>
        </w:rPr>
        <w:t xml:space="preserve"> (Conversion of Bonds) Vargo Company has bonds payable outstanding in the amount of $500,000, and the Pre-</w:t>
      </w:r>
      <w:proofErr w:type="spellStart"/>
      <w:r w:rsidRPr="00190C59">
        <w:rPr>
          <w:rFonts w:ascii="Times New Roman" w:eastAsia="Times New Roman" w:hAnsi="Times New Roman" w:cs="Times New Roman"/>
          <w:sz w:val="24"/>
          <w:szCs w:val="24"/>
          <w:lang w:val="en" w:eastAsia="en-GD"/>
        </w:rPr>
        <w:t>mium</w:t>
      </w:r>
      <w:proofErr w:type="spellEnd"/>
      <w:r w:rsidRPr="00190C59">
        <w:rPr>
          <w:rFonts w:ascii="Times New Roman" w:eastAsia="Times New Roman" w:hAnsi="Times New Roman" w:cs="Times New Roman"/>
          <w:sz w:val="24"/>
          <w:szCs w:val="24"/>
          <w:lang w:val="en" w:eastAsia="en-GD"/>
        </w:rPr>
        <w:t xml:space="preserve"> on Bonds Payable account has a balance of $7,500. Each $1,000 bond is convertible into 20 shares of preferred stock of par value of $50 per share. All bonds are converted into preferred stock.</w:t>
      </w:r>
    </w:p>
    <w:p w14:paraId="4D89FDE0" w14:textId="77777777" w:rsidR="00190C59" w:rsidRDefault="00190C59" w:rsidP="00190C59">
      <w:pPr>
        <w:spacing w:after="0" w:line="240" w:lineRule="auto"/>
        <w:rPr>
          <w:rFonts w:ascii="Times New Roman" w:eastAsia="Times New Roman" w:hAnsi="Times New Roman" w:cs="Times New Roman"/>
          <w:sz w:val="24"/>
          <w:szCs w:val="24"/>
          <w:lang w:val="en" w:eastAsia="en-GD"/>
        </w:rPr>
      </w:pPr>
    </w:p>
    <w:p w14:paraId="41DD5A49" w14:textId="77777777" w:rsidR="00190C59" w:rsidRPr="00190C59" w:rsidRDefault="00190C59" w:rsidP="00190C59">
      <w:pPr>
        <w:spacing w:after="0" w:line="240" w:lineRule="auto"/>
        <w:rPr>
          <w:rFonts w:ascii="Times New Roman" w:eastAsia="Times New Roman" w:hAnsi="Times New Roman" w:cs="Times New Roman"/>
          <w:sz w:val="24"/>
          <w:szCs w:val="24"/>
          <w:lang w:val="en" w:eastAsia="en-GD"/>
        </w:rPr>
      </w:pPr>
      <w:r w:rsidRPr="00190C59">
        <w:rPr>
          <w:rFonts w:ascii="Times New Roman" w:eastAsia="Times New Roman" w:hAnsi="Times New Roman" w:cs="Times New Roman"/>
          <w:sz w:val="24"/>
          <w:szCs w:val="24"/>
          <w:lang w:val="en" w:eastAsia="en-GD"/>
        </w:rPr>
        <w:t xml:space="preserve"> Instructions Assuming that the book value method was used, what entry would be made?</w:t>
      </w:r>
    </w:p>
    <w:p w14:paraId="63DD692D" w14:textId="77777777" w:rsidR="001B2153" w:rsidRPr="001B2153" w:rsidRDefault="001B2153" w:rsidP="001B2153">
      <w:pPr>
        <w:jc w:val="center"/>
        <w:rPr>
          <w:b/>
          <w:bCs/>
          <w:u w:val="single"/>
          <w:lang w:val="en-US"/>
        </w:rPr>
      </w:pPr>
    </w:p>
    <w:sectPr w:rsidR="001B2153" w:rsidRPr="001B215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C911941"/>
    <w:multiLevelType w:val="hybridMultilevel"/>
    <w:tmpl w:val="5E26714E"/>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2153"/>
    <w:rsid w:val="00190C59"/>
    <w:rsid w:val="001B2153"/>
  </w:rsids>
  <m:mathPr>
    <m:mathFont m:val="Cambria Math"/>
    <m:brkBin m:val="before"/>
    <m:brkBinSub m:val="--"/>
    <m:smallFrac m:val="0"/>
    <m:dispDef/>
    <m:lMargin m:val="0"/>
    <m:rMargin m:val="0"/>
    <m:defJc m:val="centerGroup"/>
    <m:wrapIndent m:val="1440"/>
    <m:intLim m:val="subSup"/>
    <m:naryLim m:val="undOvr"/>
  </m:mathPr>
  <w:themeFontLang w:val="en-G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827490"/>
  <w15:chartTrackingRefBased/>
  <w15:docId w15:val="{A42337EB-5160-4BA1-9B19-A1D16FFBDD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215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98175228">
      <w:bodyDiv w:val="1"/>
      <w:marLeft w:val="0"/>
      <w:marRight w:val="0"/>
      <w:marTop w:val="0"/>
      <w:marBottom w:val="0"/>
      <w:divBdr>
        <w:top w:val="none" w:sz="0" w:space="0" w:color="auto"/>
        <w:left w:val="none" w:sz="0" w:space="0" w:color="auto"/>
        <w:bottom w:val="none" w:sz="0" w:space="0" w:color="auto"/>
        <w:right w:val="none" w:sz="0" w:space="0" w:color="auto"/>
      </w:divBdr>
      <w:divsChild>
        <w:div w:id="1046417820">
          <w:marLeft w:val="0"/>
          <w:marRight w:val="0"/>
          <w:marTop w:val="0"/>
          <w:marBottom w:val="0"/>
          <w:divBdr>
            <w:top w:val="none" w:sz="0" w:space="0" w:color="auto"/>
            <w:left w:val="none" w:sz="0" w:space="0" w:color="auto"/>
            <w:bottom w:val="none" w:sz="0" w:space="0" w:color="auto"/>
            <w:right w:val="none" w:sz="0" w:space="0" w:color="auto"/>
          </w:divBdr>
          <w:divsChild>
            <w:div w:id="1207648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3189111">
      <w:bodyDiv w:val="1"/>
      <w:marLeft w:val="0"/>
      <w:marRight w:val="0"/>
      <w:marTop w:val="0"/>
      <w:marBottom w:val="0"/>
      <w:divBdr>
        <w:top w:val="none" w:sz="0" w:space="0" w:color="auto"/>
        <w:left w:val="none" w:sz="0" w:space="0" w:color="auto"/>
        <w:bottom w:val="none" w:sz="0" w:space="0" w:color="auto"/>
        <w:right w:val="none" w:sz="0" w:space="0" w:color="auto"/>
      </w:divBdr>
      <w:divsChild>
        <w:div w:id="1810130395">
          <w:marLeft w:val="0"/>
          <w:marRight w:val="0"/>
          <w:marTop w:val="0"/>
          <w:marBottom w:val="0"/>
          <w:divBdr>
            <w:top w:val="none" w:sz="0" w:space="0" w:color="auto"/>
            <w:left w:val="none" w:sz="0" w:space="0" w:color="auto"/>
            <w:bottom w:val="none" w:sz="0" w:space="0" w:color="auto"/>
            <w:right w:val="none" w:sz="0" w:space="0" w:color="auto"/>
          </w:divBdr>
          <w:divsChild>
            <w:div w:id="1021665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6679893">
      <w:bodyDiv w:val="1"/>
      <w:marLeft w:val="0"/>
      <w:marRight w:val="0"/>
      <w:marTop w:val="0"/>
      <w:marBottom w:val="0"/>
      <w:divBdr>
        <w:top w:val="none" w:sz="0" w:space="0" w:color="auto"/>
        <w:left w:val="none" w:sz="0" w:space="0" w:color="auto"/>
        <w:bottom w:val="none" w:sz="0" w:space="0" w:color="auto"/>
        <w:right w:val="none" w:sz="0" w:space="0" w:color="auto"/>
      </w:divBdr>
      <w:divsChild>
        <w:div w:id="1721397687">
          <w:marLeft w:val="0"/>
          <w:marRight w:val="0"/>
          <w:marTop w:val="0"/>
          <w:marBottom w:val="0"/>
          <w:divBdr>
            <w:top w:val="none" w:sz="0" w:space="0" w:color="auto"/>
            <w:left w:val="none" w:sz="0" w:space="0" w:color="auto"/>
            <w:bottom w:val="none" w:sz="0" w:space="0" w:color="auto"/>
            <w:right w:val="none" w:sz="0" w:space="0" w:color="auto"/>
          </w:divBdr>
          <w:divsChild>
            <w:div w:id="726339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5984500">
      <w:bodyDiv w:val="1"/>
      <w:marLeft w:val="0"/>
      <w:marRight w:val="0"/>
      <w:marTop w:val="0"/>
      <w:marBottom w:val="0"/>
      <w:divBdr>
        <w:top w:val="none" w:sz="0" w:space="0" w:color="auto"/>
        <w:left w:val="none" w:sz="0" w:space="0" w:color="auto"/>
        <w:bottom w:val="none" w:sz="0" w:space="0" w:color="auto"/>
        <w:right w:val="none" w:sz="0" w:space="0" w:color="auto"/>
      </w:divBdr>
      <w:divsChild>
        <w:div w:id="1069769376">
          <w:marLeft w:val="0"/>
          <w:marRight w:val="0"/>
          <w:marTop w:val="0"/>
          <w:marBottom w:val="0"/>
          <w:divBdr>
            <w:top w:val="none" w:sz="0" w:space="0" w:color="auto"/>
            <w:left w:val="none" w:sz="0" w:space="0" w:color="auto"/>
            <w:bottom w:val="none" w:sz="0" w:space="0" w:color="auto"/>
            <w:right w:val="none" w:sz="0" w:space="0" w:color="auto"/>
          </w:divBdr>
          <w:divsChild>
            <w:div w:id="1190684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2720213">
      <w:bodyDiv w:val="1"/>
      <w:marLeft w:val="0"/>
      <w:marRight w:val="0"/>
      <w:marTop w:val="0"/>
      <w:marBottom w:val="0"/>
      <w:divBdr>
        <w:top w:val="none" w:sz="0" w:space="0" w:color="auto"/>
        <w:left w:val="none" w:sz="0" w:space="0" w:color="auto"/>
        <w:bottom w:val="none" w:sz="0" w:space="0" w:color="auto"/>
        <w:right w:val="none" w:sz="0" w:space="0" w:color="auto"/>
      </w:divBdr>
      <w:divsChild>
        <w:div w:id="404422965">
          <w:marLeft w:val="0"/>
          <w:marRight w:val="0"/>
          <w:marTop w:val="0"/>
          <w:marBottom w:val="0"/>
          <w:divBdr>
            <w:top w:val="none" w:sz="0" w:space="0" w:color="auto"/>
            <w:left w:val="none" w:sz="0" w:space="0" w:color="auto"/>
            <w:bottom w:val="none" w:sz="0" w:space="0" w:color="auto"/>
            <w:right w:val="none" w:sz="0" w:space="0" w:color="auto"/>
          </w:divBdr>
          <w:divsChild>
            <w:div w:id="1808745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789503">
      <w:bodyDiv w:val="1"/>
      <w:marLeft w:val="0"/>
      <w:marRight w:val="0"/>
      <w:marTop w:val="0"/>
      <w:marBottom w:val="0"/>
      <w:divBdr>
        <w:top w:val="none" w:sz="0" w:space="0" w:color="auto"/>
        <w:left w:val="none" w:sz="0" w:space="0" w:color="auto"/>
        <w:bottom w:val="none" w:sz="0" w:space="0" w:color="auto"/>
        <w:right w:val="none" w:sz="0" w:space="0" w:color="auto"/>
      </w:divBdr>
      <w:divsChild>
        <w:div w:id="380250677">
          <w:marLeft w:val="0"/>
          <w:marRight w:val="0"/>
          <w:marTop w:val="0"/>
          <w:marBottom w:val="0"/>
          <w:divBdr>
            <w:top w:val="none" w:sz="0" w:space="0" w:color="auto"/>
            <w:left w:val="none" w:sz="0" w:space="0" w:color="auto"/>
            <w:bottom w:val="none" w:sz="0" w:space="0" w:color="auto"/>
            <w:right w:val="none" w:sz="0" w:space="0" w:color="auto"/>
          </w:divBdr>
          <w:divsChild>
            <w:div w:id="945695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9453499">
      <w:bodyDiv w:val="1"/>
      <w:marLeft w:val="0"/>
      <w:marRight w:val="0"/>
      <w:marTop w:val="0"/>
      <w:marBottom w:val="0"/>
      <w:divBdr>
        <w:top w:val="none" w:sz="0" w:space="0" w:color="auto"/>
        <w:left w:val="none" w:sz="0" w:space="0" w:color="auto"/>
        <w:bottom w:val="none" w:sz="0" w:space="0" w:color="auto"/>
        <w:right w:val="none" w:sz="0" w:space="0" w:color="auto"/>
      </w:divBdr>
      <w:divsChild>
        <w:div w:id="1455562426">
          <w:marLeft w:val="0"/>
          <w:marRight w:val="0"/>
          <w:marTop w:val="0"/>
          <w:marBottom w:val="0"/>
          <w:divBdr>
            <w:top w:val="none" w:sz="0" w:space="0" w:color="auto"/>
            <w:left w:val="none" w:sz="0" w:space="0" w:color="auto"/>
            <w:bottom w:val="none" w:sz="0" w:space="0" w:color="auto"/>
            <w:right w:val="none" w:sz="0" w:space="0" w:color="auto"/>
          </w:divBdr>
          <w:divsChild>
            <w:div w:id="815536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2247363">
      <w:bodyDiv w:val="1"/>
      <w:marLeft w:val="0"/>
      <w:marRight w:val="0"/>
      <w:marTop w:val="0"/>
      <w:marBottom w:val="0"/>
      <w:divBdr>
        <w:top w:val="none" w:sz="0" w:space="0" w:color="auto"/>
        <w:left w:val="none" w:sz="0" w:space="0" w:color="auto"/>
        <w:bottom w:val="none" w:sz="0" w:space="0" w:color="auto"/>
        <w:right w:val="none" w:sz="0" w:space="0" w:color="auto"/>
      </w:divBdr>
      <w:divsChild>
        <w:div w:id="1195077472">
          <w:marLeft w:val="0"/>
          <w:marRight w:val="0"/>
          <w:marTop w:val="0"/>
          <w:marBottom w:val="0"/>
          <w:divBdr>
            <w:top w:val="none" w:sz="0" w:space="0" w:color="auto"/>
            <w:left w:val="none" w:sz="0" w:space="0" w:color="auto"/>
            <w:bottom w:val="none" w:sz="0" w:space="0" w:color="auto"/>
            <w:right w:val="none" w:sz="0" w:space="0" w:color="auto"/>
          </w:divBdr>
          <w:divsChild>
            <w:div w:id="1300188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7563789">
      <w:bodyDiv w:val="1"/>
      <w:marLeft w:val="0"/>
      <w:marRight w:val="0"/>
      <w:marTop w:val="0"/>
      <w:marBottom w:val="0"/>
      <w:divBdr>
        <w:top w:val="none" w:sz="0" w:space="0" w:color="auto"/>
        <w:left w:val="none" w:sz="0" w:space="0" w:color="auto"/>
        <w:bottom w:val="none" w:sz="0" w:space="0" w:color="auto"/>
        <w:right w:val="none" w:sz="0" w:space="0" w:color="auto"/>
      </w:divBdr>
      <w:divsChild>
        <w:div w:id="2047748965">
          <w:marLeft w:val="0"/>
          <w:marRight w:val="0"/>
          <w:marTop w:val="0"/>
          <w:marBottom w:val="0"/>
          <w:divBdr>
            <w:top w:val="none" w:sz="0" w:space="0" w:color="auto"/>
            <w:left w:val="none" w:sz="0" w:space="0" w:color="auto"/>
            <w:bottom w:val="none" w:sz="0" w:space="0" w:color="auto"/>
            <w:right w:val="none" w:sz="0" w:space="0" w:color="auto"/>
          </w:divBdr>
          <w:divsChild>
            <w:div w:id="1384795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8328406">
      <w:bodyDiv w:val="1"/>
      <w:marLeft w:val="0"/>
      <w:marRight w:val="0"/>
      <w:marTop w:val="0"/>
      <w:marBottom w:val="0"/>
      <w:divBdr>
        <w:top w:val="none" w:sz="0" w:space="0" w:color="auto"/>
        <w:left w:val="none" w:sz="0" w:space="0" w:color="auto"/>
        <w:bottom w:val="none" w:sz="0" w:space="0" w:color="auto"/>
        <w:right w:val="none" w:sz="0" w:space="0" w:color="auto"/>
      </w:divBdr>
      <w:divsChild>
        <w:div w:id="867837293">
          <w:marLeft w:val="0"/>
          <w:marRight w:val="0"/>
          <w:marTop w:val="0"/>
          <w:marBottom w:val="0"/>
          <w:divBdr>
            <w:top w:val="none" w:sz="0" w:space="0" w:color="auto"/>
            <w:left w:val="none" w:sz="0" w:space="0" w:color="auto"/>
            <w:bottom w:val="none" w:sz="0" w:space="0" w:color="auto"/>
            <w:right w:val="none" w:sz="0" w:space="0" w:color="auto"/>
          </w:divBdr>
          <w:divsChild>
            <w:div w:id="404033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6981372">
      <w:bodyDiv w:val="1"/>
      <w:marLeft w:val="0"/>
      <w:marRight w:val="0"/>
      <w:marTop w:val="0"/>
      <w:marBottom w:val="0"/>
      <w:divBdr>
        <w:top w:val="none" w:sz="0" w:space="0" w:color="auto"/>
        <w:left w:val="none" w:sz="0" w:space="0" w:color="auto"/>
        <w:bottom w:val="none" w:sz="0" w:space="0" w:color="auto"/>
        <w:right w:val="none" w:sz="0" w:space="0" w:color="auto"/>
      </w:divBdr>
      <w:divsChild>
        <w:div w:id="2105370391">
          <w:marLeft w:val="0"/>
          <w:marRight w:val="0"/>
          <w:marTop w:val="0"/>
          <w:marBottom w:val="0"/>
          <w:divBdr>
            <w:top w:val="none" w:sz="0" w:space="0" w:color="auto"/>
            <w:left w:val="none" w:sz="0" w:space="0" w:color="auto"/>
            <w:bottom w:val="none" w:sz="0" w:space="0" w:color="auto"/>
            <w:right w:val="none" w:sz="0" w:space="0" w:color="auto"/>
          </w:divBdr>
          <w:divsChild>
            <w:div w:id="638609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7758190">
      <w:bodyDiv w:val="1"/>
      <w:marLeft w:val="0"/>
      <w:marRight w:val="0"/>
      <w:marTop w:val="0"/>
      <w:marBottom w:val="0"/>
      <w:divBdr>
        <w:top w:val="none" w:sz="0" w:space="0" w:color="auto"/>
        <w:left w:val="none" w:sz="0" w:space="0" w:color="auto"/>
        <w:bottom w:val="none" w:sz="0" w:space="0" w:color="auto"/>
        <w:right w:val="none" w:sz="0" w:space="0" w:color="auto"/>
      </w:divBdr>
      <w:divsChild>
        <w:div w:id="879829241">
          <w:marLeft w:val="0"/>
          <w:marRight w:val="0"/>
          <w:marTop w:val="0"/>
          <w:marBottom w:val="0"/>
          <w:divBdr>
            <w:top w:val="none" w:sz="0" w:space="0" w:color="auto"/>
            <w:left w:val="none" w:sz="0" w:space="0" w:color="auto"/>
            <w:bottom w:val="none" w:sz="0" w:space="0" w:color="auto"/>
            <w:right w:val="none" w:sz="0" w:space="0" w:color="auto"/>
          </w:divBdr>
          <w:divsChild>
            <w:div w:id="1659841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570</Words>
  <Characters>3250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janota</dc:creator>
  <cp:keywords/>
  <dc:description/>
  <cp:lastModifiedBy>luis janota</cp:lastModifiedBy>
  <cp:revision>1</cp:revision>
  <dcterms:created xsi:type="dcterms:W3CDTF">2019-08-10T19:32:00Z</dcterms:created>
  <dcterms:modified xsi:type="dcterms:W3CDTF">2019-08-10T19:45:00Z</dcterms:modified>
</cp:coreProperties>
</file>